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CellSpacing w:w="0" w:type="dxa"/>
        <w:tblInd w:w="-124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00" w:type="dxa"/>
            <w:shd w:val="clear" w:color="auto" w:fill="FFFFFF"/>
            <w:vAlign w:val="center"/>
          </w:tcPr>
          <w:tbl>
            <w:tblPr>
              <w:tblW w:w="8640" w:type="dxa"/>
              <w:jc w:val="center"/>
              <w:tblCellSpacing w:w="0" w:type="dxa"/>
              <w:tblInd w:w="108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4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6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315" w:beforeAutospacing="0" w:after="270" w:afterAutospacing="0"/>
                    <w:jc w:val="center"/>
                  </w:pPr>
                  <w:r>
                    <w:rPr>
                      <w:sz w:val="18"/>
                      <w:szCs w:val="18"/>
                    </w:rPr>
                    <w:t>　　  </w:t>
                  </w:r>
                </w:p>
                <w:tbl>
                  <w:tblPr>
                    <w:tblW w:w="8312" w:type="dxa"/>
                    <w:tblCellSpacing w:w="15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83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825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Style w:val="7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Style w:val="7"/>
                            <w:lang w:val="en-US" w:eastAsia="zh-CN" w:bidi="ar"/>
                          </w:rPr>
                          <w:instrText xml:space="preserve">INCLUDEPICTURE \d "http://ww.ujs.edu.cn/themes/default/stylesheets/default/images/redtitle_xx.jpg" \* MERGEFORMATINET </w:instrText>
                        </w:r>
                        <w:r>
                          <w:rPr>
                            <w:rStyle w:val="7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7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5219700" cy="1000125"/>
                              <wp:effectExtent l="0" t="0" r="0" b="9525"/>
                              <wp:docPr id="2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197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Style w:val="7"/>
                            <w:lang w:val="en-US" w:eastAsia="zh-CN" w:bidi="ar"/>
                          </w:rPr>
                          <w:fldChar w:fldCharType="end"/>
                        </w:r>
                      </w:p>
                    </w:tc>
                  </w:tr>
                </w:tbl>
                <w:p>
                  <w:pPr>
                    <w:rPr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7776" w:type="dxa"/>
                    <w:jc w:val="center"/>
                    <w:tblCellSpacing w:w="0" w:type="dxa"/>
                    <w:tblInd w:w="432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76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7776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 xml:space="preserve">江大校〔2016〕543号 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color w:val="FF0000"/>
                    </w:rPr>
                  </w:pPr>
                  <w:r>
                    <w:rPr>
                      <w:sz w:val="24"/>
                      <w:szCs w:val="24"/>
                    </w:rPr>
                    <w:pict>
                      <v:rect id="_x0000_i1026" o:spt="1" style="height:1.5pt;width:432pt;" fillcolor="#FF0000" filled="t" stroked="f" coordsize="21600,21600" o:hr="t" o:hrstd="t" o:hrnoshade="t" o:hralign="center">
                        <v:path/>
                        <v:fill on="t" focussize="0,0"/>
                        <v:stroke on="f"/>
                        <v:imagedata o:title=""/>
                        <o:lock v:ext="edit"/>
                        <w10:wrap type="none"/>
                        <w10:anchorlock/>
                      </v:rect>
                    </w:pic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720" w:lineRule="exact"/>
                    <w:ind w:left="0" w:right="0"/>
                    <w:jc w:val="center"/>
                    <w:rPr>
                      <w:rFonts w:hint="default" w:ascii="方正小标宋简体" w:hAnsi="方正小标宋简体" w:eastAsia="方正小标宋简体" w:cs="方正小标宋简体"/>
                      <w:sz w:val="44"/>
                      <w:szCs w:val="44"/>
                      <w:lang w:val="en-US"/>
                    </w:rPr>
                  </w:pPr>
                  <w:r>
                    <w:rPr>
                      <w:rFonts w:ascii="方正小标宋简体" w:hAnsi="方正小标宋简体" w:eastAsia="方正小标宋简体" w:cs="方正小标宋简体"/>
                      <w:kern w:val="0"/>
                      <w:sz w:val="44"/>
                      <w:szCs w:val="44"/>
                      <w:lang w:val="en-US" w:eastAsia="zh-CN" w:bidi="ar"/>
                    </w:rPr>
                    <w:t>关于印发《江苏大学海外高层次人才引进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720" w:lineRule="exact"/>
                    <w:ind w:left="0" w:right="0"/>
                    <w:jc w:val="center"/>
                  </w:pPr>
                  <w:r>
                    <w:rPr>
                      <w:rFonts w:hint="default" w:ascii="方正小标宋简体" w:hAnsi="方正小标宋简体" w:eastAsia="方正小标宋简体" w:cs="方正小标宋简体"/>
                      <w:kern w:val="0"/>
                      <w:sz w:val="44"/>
                      <w:szCs w:val="44"/>
                      <w:lang w:val="en-US" w:eastAsia="zh-CN" w:bidi="ar"/>
                    </w:rPr>
                    <w:t>暂行办法（试行）》的通知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720" w:lineRule="exact"/>
                    <w:ind w:left="0" w:right="0"/>
                    <w:jc w:val="center"/>
                    <w:rPr>
                      <w:rFonts w:hint="default" w:ascii="方正小标宋简体" w:hAnsi="方正小标宋简体" w:eastAsia="方正小标宋简体" w:cs="方正小标宋简体"/>
                      <w:sz w:val="44"/>
                      <w:szCs w:val="44"/>
                      <w:lang w:val="en-US"/>
                    </w:rPr>
                  </w:pPr>
                  <w:r>
                    <w:rPr>
                      <w:rFonts w:hint="default" w:ascii="Times New Roman" w:hAnsi="Times New Roman" w:cs="Times New Roman" w:eastAsiaTheme="minorEastAsia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120" w:beforeLines="50" w:beforeAutospacing="0" w:after="0" w:afterAutospacing="0" w:line="520" w:lineRule="exact"/>
                    <w:ind w:left="0" w:right="0"/>
                    <w:jc w:val="left"/>
                    <w:rPr>
                      <w:rFonts w:hint="eastAsia" w:ascii="仿宋_GB2312" w:hAnsi="宋体" w:eastAsia="仿宋_GB2312" w:cs="宋体"/>
                      <w:kern w:val="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仿宋_GB2312" w:hAnsi="宋体" w:eastAsia="仿宋_GB2312" w:cs="宋体"/>
                      <w:kern w:val="0"/>
                      <w:sz w:val="36"/>
                      <w:szCs w:val="36"/>
                      <w:lang w:val="en-US" w:eastAsia="zh-CN" w:bidi="ar"/>
                    </w:rPr>
                    <w:t>全校各单位：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仿宋_GB2312" w:hAnsi="Times New Roman" w:eastAsia="仿宋_GB2312" w:cs="仿宋_GB2312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36"/>
                      <w:szCs w:val="36"/>
                      <w:lang w:val="en-US" w:eastAsia="zh-CN" w:bidi="ar"/>
                    </w:rPr>
                    <w:t>《江苏大学海外高层次人才引进暂行办法（试行）》已经校长办公会议讨论通过，现印发给你们，请认真遵照执行。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570"/>
                    <w:jc w:val="left"/>
                    <w:rPr>
                      <w:rFonts w:hint="eastAsia" w:ascii="宋体" w:hAnsi="宋体" w:eastAsia="仿宋_GB2312" w:cs="宋体"/>
                      <w:kern w:val="0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570"/>
                    <w:jc w:val="left"/>
                    <w:rPr>
                      <w:rFonts w:hint="eastAsia" w:ascii="宋体" w:hAnsi="宋体" w:eastAsia="仿宋_GB2312" w:cs="宋体"/>
                      <w:kern w:val="0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570"/>
                    <w:jc w:val="left"/>
                    <w:rPr>
                      <w:rFonts w:hint="eastAsia" w:ascii="宋体" w:hAnsi="宋体" w:eastAsia="仿宋_GB2312" w:cs="宋体"/>
                      <w:kern w:val="0"/>
                      <w:szCs w:val="32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570"/>
                    <w:jc w:val="left"/>
                    <w:rPr>
                      <w:rFonts w:hint="eastAsia" w:ascii="宋体" w:hAnsi="宋体" w:eastAsia="仿宋_GB2312" w:cs="宋体"/>
                      <w:kern w:val="0"/>
                      <w:sz w:val="36"/>
                      <w:szCs w:val="32"/>
                      <w:lang w:val="en-US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 w:val="36"/>
                      <w:szCs w:val="32"/>
                      <w:lang w:val="en-US" w:eastAsia="zh-CN" w:bidi="ar"/>
                    </w:rPr>
                    <w:t>                  江苏大学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4304" w:leftChars="1345" w:right="153"/>
                    <w:jc w:val="left"/>
                    <w:rPr>
                      <w:rFonts w:hint="eastAsia" w:ascii="仿宋_GB2312" w:hAnsi="Times New Roman" w:eastAsia="仿宋_GB2312" w:cs="宋体"/>
                      <w:kern w:val="0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kern w:val="0"/>
                      <w:sz w:val="36"/>
                      <w:szCs w:val="36"/>
                      <w:lang w:val="en-US" w:eastAsia="zh-CN" w:bidi="ar"/>
                    </w:rPr>
                    <w:t>2016年12月23日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宋体" w:hAnsi="宋体" w:eastAsia="仿宋_GB2312" w:cs="宋体"/>
                      <w:kern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宋体" w:hAnsi="宋体" w:eastAsia="仿宋_GB2312" w:cs="宋体"/>
                      <w:kern w:val="0"/>
                      <w:sz w:val="28"/>
                      <w:szCs w:val="2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60" w:lineRule="exact"/>
                    <w:ind w:left="0" w:right="0"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cs="Times New Roman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720" w:lineRule="exact"/>
                    <w:ind w:left="0" w:right="0"/>
                    <w:jc w:val="center"/>
                  </w:pPr>
                  <w:r>
                    <w:rPr>
                      <w:rFonts w:ascii="华文中宋" w:hAnsi="华文中宋" w:eastAsia="华文中宋" w:cs="华文中宋"/>
                      <w:kern w:val="0"/>
                      <w:sz w:val="44"/>
                      <w:szCs w:val="44"/>
                      <w:lang w:val="en-US" w:eastAsia="zh-CN" w:bidi="ar"/>
                    </w:rPr>
                    <w:t>江苏大学海外高层次人才引进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720" w:lineRule="exact"/>
                    <w:ind w:left="0" w:right="0"/>
                    <w:jc w:val="center"/>
                    <w:rPr>
                      <w:rFonts w:hint="eastAsia" w:ascii="华文中宋" w:hAnsi="华文中宋" w:eastAsia="华文中宋" w:cs="华文中宋"/>
                      <w:sz w:val="44"/>
                      <w:szCs w:val="44"/>
                      <w:lang w:val="en-US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kern w:val="0"/>
                      <w:sz w:val="44"/>
                      <w:szCs w:val="44"/>
                      <w:lang w:val="en-US" w:eastAsia="zh-CN" w:bidi="ar"/>
                    </w:rPr>
                    <w:t>暂行办法（试行）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480" w:lineRule="exact"/>
                    <w:ind w:left="0" w:right="0" w:firstLine="560" w:firstLineChars="200"/>
                    <w:jc w:val="left"/>
                    <w:rPr>
                      <w:rFonts w:ascii="仿宋" w:hAnsi="仿宋" w:eastAsia="仿宋" w:cs="仿宋"/>
                      <w:sz w:val="28"/>
                      <w:szCs w:val="28"/>
                      <w:lang w:val="en-US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 xml:space="preserve">为贯彻落实国务院关于建设世界一流大学和一流学科战略部署，及江苏省高水平大学建设精神，全面推进学校研究型大学目标建设进程，提升师资队伍建设水平，加大海外高层次人才的引进力度，根据国家和江苏省有关文件精神，解放思想，抓住机遇，结合学校发展需求和实际情况，特制订本暂行办法。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一、基本原则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（一）突出重点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重点引进海外著名高校、科研机构博士、博士后；进一步推进学校优势学科和重点学科的海外高层次人才引进；提升各学科引进海外高层次人才的质量和数量。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（二）优先录用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针对海外高层次人才，建立绿色通道，成熟一个，引进一个，把海外高层次人才的引进置于优先地位。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（三）资源倾斜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创新机制，设立学术特区，为海外高层次人才提供良好的团队资源及各项优惠政策。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（四）统筹实施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全校各单位各负其责，形成协调有力、办事高效的工作机制，为海外高层次人才引进提供全面有效的支持。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二、引进海外高层次人才对象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取得海外著名高校博士学位，或具有海外博士后研究经历的优秀人才，一般年龄不超过35周岁；或外籍海外高层次人才，</w:t>
                  </w: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能履行我校岗位职责，一般年龄不超过45周岁；特别优秀的可适当放宽年龄。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三、引进目标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学校平均每年引进海外高层次人才100名，其中海外博士50名左右；平均每年引进外籍教师100名以上，其中一年以上外籍长聘教师50名以上。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四、岗位设置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学校为全职进校海外高层次人才设置资格教授、资格副教授等岗位；为</w:t>
                  </w: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外籍海外高层次人才</w:t>
                  </w: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设立长、短期外聘专家岗位；岗位数量不受限制。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 xml:space="preserve">五、岗位条件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（一）资格教授岗位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取得海外著名高校博士学位，或具有海外著名高校、科研机构等博士后研究经历，并取得相当于我校教授评审条件中的科研业绩。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（二）资格副教授岗位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color w:val="000000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取得海外著名高校博士学位，或具有海外著名高校、科研机构等博士后研究经历，</w:t>
                  </w: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并取得相当于我校副教授评审条件中的科研业绩。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（三）长、短期外聘专家岗位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color w:val="000000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具有海外背景，人事关系不能进入学校，符合我校教学科研岗位需要；</w:t>
                  </w: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能长期在我校开展全职工作，或短期在我校开展全职工作。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六、岗位职责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_GB2312"/>
                      <w:kern w:val="0"/>
                      <w:sz w:val="36"/>
                      <w:szCs w:val="36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_GB2312"/>
                      <w:kern w:val="0"/>
                      <w:sz w:val="36"/>
                      <w:szCs w:val="36"/>
                      <w:shd w:val="clear" w:fill="FFFFFF"/>
                      <w:lang w:val="en-US" w:eastAsia="zh-CN" w:bidi="ar"/>
                    </w:rPr>
                    <w:t>（一）资格教授须履行我校教授相关岗位职责。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_GB2312"/>
                      <w:kern w:val="0"/>
                      <w:sz w:val="36"/>
                      <w:szCs w:val="32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（二）资格副教授须</w:t>
                  </w:r>
                  <w:r>
                    <w:rPr>
                      <w:rFonts w:hint="default" w:ascii="仿宋" w:hAnsi="仿宋" w:eastAsia="仿宋" w:cs="仿宋_GB2312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履行我校副教授相关岗位职责。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_GB2312"/>
                      <w:kern w:val="0"/>
                      <w:sz w:val="36"/>
                      <w:szCs w:val="32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 xml:space="preserve">（三） </w:t>
                  </w:r>
                  <w:r>
                    <w:rPr>
                      <w:rFonts w:hint="default" w:ascii="仿宋" w:hAnsi="仿宋" w:eastAsia="仿宋" w:cs="仿宋_GB2312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长、短期外聘专家须：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仿宋_GB2312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1.</w:t>
                  </w:r>
                  <w:r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讲授一门以上全英文课程。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2.指导硕士、博士研究生。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3.开展国际化合作项目、建立国际合作实验室，为我校青年教师海外联合培养、访学提供条件。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hd w:val="clear" w:fill="FFFFFF"/>
                    <w:tabs>
                      <w:tab w:val="left" w:pos="1199"/>
                    </w:tabs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/>
                    </w:rPr>
                  </w:pPr>
                  <w:r>
                    <w:rPr>
                      <w:rFonts w:hint="default" w:ascii="仿宋" w:hAnsi="仿宋" w:eastAsia="仿宋" w:cs="宋体"/>
                      <w:kern w:val="0"/>
                      <w:sz w:val="36"/>
                      <w:szCs w:val="32"/>
                      <w:shd w:val="clear" w:fill="FFFFFF"/>
                      <w:lang w:val="en-US" w:eastAsia="zh-CN" w:bidi="ar"/>
                    </w:rPr>
                    <w:t>4.积极争取并主持省部级及以上重大科研项目，在本学科领域开展原创性、重大理论与实践问题研究和关键领域攻关，能带动一个学科方向或增加一个新的学科方向。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27" w:firstLineChars="196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七、</w:t>
                  </w:r>
                  <w:r>
                    <w:rPr>
                      <w:rFonts w:hint="eastAsia" w:ascii="黑体" w:hAnsi="Times New Roman" w:eastAsia="黑体" w:cs="黑体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引进方法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480" w:firstLineChars="15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（一）媒体宣传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480" w:firstLineChars="15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充分发挥各大网络媒体的宣传作用，通过在行业中具有广泛影响力的海外媒体如《Science》、《Nature》等杂志，及时发布各类海外高层次人才招聘信息，扩大学校知名度和影响力。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480" w:firstLineChars="15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（二）现场招聘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480" w:firstLineChars="150"/>
                    <w:jc w:val="left"/>
                    <w:rPr>
                      <w:rFonts w:hint="default" w:ascii="仿宋" w:hAnsi="仿宋" w:eastAsia="仿宋" w:cs="仿宋"/>
                      <w:sz w:val="36"/>
                      <w:szCs w:val="32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2"/>
                      <w:lang w:val="en-US" w:eastAsia="zh-CN" w:bidi="ar"/>
                    </w:rPr>
                    <w:t>借助政府部门组织的各类海外招聘活动，大力拓宽海外高层次人才来源；以海外一流高校为目标，学校实施定期定向招聘；</w:t>
                  </w: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2"/>
                      <w:lang w:val="en-US" w:eastAsia="zh-CN" w:bidi="ar"/>
                    </w:rPr>
                    <w:t>以校领导出访为契机，组织实施高层次海外人才现场招聘活动</w:t>
                  </w: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2"/>
                      <w:lang w:val="en-US" w:eastAsia="zh-CN" w:bidi="ar"/>
                    </w:rPr>
                    <w:t>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480" w:firstLineChars="15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（三）学科带动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实施海外高层次人才引进奖励政策，落实用人单位在海外高层次人才引进中的主体地位；积极挖掘校友会资源，充分利用各学院、学科、团队在学术交流、合作研究中的海外资源，以点带面、以人带人，引进海外高层次人才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（四）建立平台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学校建立面向海外的招聘平台，每年举行两期高层次人才学术论坛，汇聚海外博士、博士后；设立学术特区，吸纳海外高层次人才及团队。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（五）经费保障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学校设立专项经费，为海外博士、博士后来校参加学术论坛、面试提供保障，海外博士、博士后为学校举行一次报告或者讲座，学校可承担其往返机票（经济舱）。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27" w:firstLineChars="196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八、引进程序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（一）应聘者个人提出申请，填写相应岗位的申请表格。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（二）用人单位负责对海外高层次人才进行面试考核；考核通过后，向学校提交推荐岗位、岗位目标和考核意见。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（三）校师资队伍建设工作领导小组研究决定。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（四）根据岗位类别及应聘者情况，办理相应聘用手续。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九、聘用方式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27" w:firstLineChars="196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资格教授、资格副教授实行全职在校工作，聘期八年。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27" w:firstLineChars="196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外籍海外高层次人才，根据服务时间采取长期外聘、短期外聘。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27" w:firstLineChars="196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十、待遇及考核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（一）资格教授、资格副教授可享受相应的奖励性绩效工资待遇三年。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（二）资格教授、资格副教授引进待遇：根据学科紧缺情况，资格教授安家费35-40万元，科研启动费40万元（人文社科15万元）；资格副教授安家费20-25万元，科研启动费7万元（人文社科减半）。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（二）特殊人才、外籍高层次人才实行年薪制，年薪标准参照在编人员确定。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（三）为海外高层次人才申报专业技术职务提供绿色通道。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（四）为海外高层次人才申报各类政府人才项目提供支持。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（五）必要时，协助解决爱人工作和子女入学等问题。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（六）实行聘期合同管理，根据聘期目标对海外高层次人才进行考核。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（七）根据聘期考核结果决定续聘、解聘或缓聘。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eastAsia" w:ascii="黑体" w:hAnsi="Times New Roman" w:eastAsia="黑体" w:cs="黑体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十一、海外高层次人才引进工作考评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color w:val="000000"/>
                      <w:kern w:val="0"/>
                      <w:sz w:val="36"/>
                      <w:szCs w:val="36"/>
                      <w:lang w:val="en-US" w:eastAsia="zh-CN" w:bidi="ar"/>
                    </w:rPr>
                    <w:t>海外高层次人才引进工作纳入人事师资工作年度考核，引进工作实行目标考核。对海外高层次人才引进工作成绩突出单位，在高级职称评审、岗位设置与聘任中给予政策性倾斜。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27" w:firstLineChars="196"/>
                    <w:jc w:val="left"/>
                    <w:rPr>
                      <w:rFonts w:hint="eastAsia" w:ascii="黑体" w:hAnsi="Times New Roman" w:eastAsia="黑体" w:cs="黑体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eastAsia" w:ascii="黑体" w:hAnsi="Times New Roman" w:eastAsia="黑体" w:cs="黑体"/>
                      <w:kern w:val="0"/>
                      <w:sz w:val="36"/>
                      <w:szCs w:val="36"/>
                      <w:lang w:val="en-US" w:eastAsia="zh-CN" w:bidi="ar"/>
                    </w:rPr>
                    <w:t>十二、附则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（一）本暂行办法由人事处负责解释。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 w:firstLine="640" w:firstLineChars="200"/>
                    <w:jc w:val="left"/>
                    <w:rPr>
                      <w:rFonts w:hint="default" w:ascii="仿宋" w:hAnsi="仿宋" w:eastAsia="仿宋" w:cs="仿宋"/>
                      <w:sz w:val="36"/>
                      <w:szCs w:val="36"/>
                      <w:lang w:val="en-US"/>
                    </w:rPr>
                  </w:pPr>
                  <w:r>
                    <w:rPr>
                      <w:rFonts w:hint="default" w:ascii="仿宋" w:hAnsi="仿宋" w:eastAsia="仿宋" w:cs="仿宋"/>
                      <w:kern w:val="0"/>
                      <w:sz w:val="36"/>
                      <w:szCs w:val="36"/>
                      <w:lang w:val="en-US" w:eastAsia="zh-CN" w:bidi="ar"/>
                    </w:rPr>
                    <w:t>（二）本暂行办法自2016年12月23日起执行。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wordWrap/>
                    <w:spacing w:before="0" w:beforeAutospacing="0" w:after="0" w:afterAutospacing="0" w:line="520" w:lineRule="exact"/>
                    <w:ind w:left="0" w:right="0"/>
                    <w:jc w:val="left"/>
                    <w:rPr>
                      <w:rFonts w:hint="default" w:ascii="Times New Roman" w:hAnsi="Times New Roman" w:cs="Times New Roman"/>
                      <w:szCs w:val="32"/>
                      <w:lang w:val="en-US"/>
                    </w:rPr>
                  </w:pPr>
                </w:p>
                <w:tbl>
                  <w:tblPr>
                    <w:tblpPr w:leftFromText="180" w:rightFromText="180" w:vertAnchor="page" w:horzAnchor="margin" w:tblpXSpec="left" w:tblpY="14971"/>
                    <w:tblW w:w="8640" w:type="dxa"/>
                    <w:tblInd w:w="0" w:type="dxa"/>
                    <w:tblBorders>
                      <w:top w:val="single" w:color="auto" w:sz="8" w:space="0"/>
                      <w:left w:val="none" w:color="auto" w:sz="0" w:space="0"/>
                      <w:bottom w:val="single" w:color="auto" w:sz="8" w:space="0"/>
                      <w:right w:val="none" w:color="auto" w:sz="0" w:space="0"/>
                      <w:insideH w:val="single" w:color="auto" w:sz="4" w:space="0"/>
                      <w:insideV w:val="single" w:color="auto" w:sz="4" w:space="0"/>
                    </w:tblBorders>
                    <w:shd w:val="clear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640"/>
                  </w:tblGrid>
                  <w:tr>
                    <w:tblPrEx>
                      <w:tblBorders>
                        <w:top w:val="single" w:color="auto" w:sz="8" w:space="0"/>
                        <w:left w:val="none" w:color="auto" w:sz="0" w:space="0"/>
                        <w:bottom w:val="single" w:color="auto" w:sz="8" w:space="0"/>
                        <w:right w:val="none" w:color="auto" w:sz="0" w:space="0"/>
                        <w:insideH w:val="single" w:color="auto" w:sz="4" w:space="0"/>
                        <w:insideV w:val="single" w:color="auto" w:sz="4" w:space="0"/>
                      </w:tblBorders>
                      <w:shd w:val="clear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67" w:hRule="atLeast"/>
                    </w:trPr>
                    <w:tc>
                      <w:tcPr>
                        <w:tcW w:w="864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20" w:lineRule="exact"/>
                          <w:ind w:left="0" w:right="0"/>
                          <w:jc w:val="center"/>
                          <w:rPr>
                            <w:rFonts w:hint="eastAsia" w:ascii="仿宋_GB2312" w:eastAsia="仿宋_GB2312" w:cs="仿宋_GB2312"/>
                            <w:sz w:val="28"/>
                            <w:szCs w:val="28"/>
                            <w:bdr w:val="none" w:color="auto" w:sz="0" w:space="0"/>
                            <w:lang w:val="en-US"/>
                          </w:rPr>
                        </w:pPr>
                        <w:r>
                          <w:rPr>
                            <w:rFonts w:hint="eastAsia" w:ascii="仿宋_GB2312" w:eastAsia="仿宋_GB2312" w:cs="仿宋_GB2312" w:hAnsiTheme="minorHAnsi"/>
                            <w:kern w:val="0"/>
                            <w:sz w:val="28"/>
                            <w:szCs w:val="28"/>
                            <w:bdr w:val="none" w:color="auto" w:sz="0" w:space="0"/>
                            <w:lang w:val="en-US" w:eastAsia="zh-CN" w:bidi="ar"/>
                          </w:rPr>
                          <w:t>江苏大学校长办公室            2016年12月23日印发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wordWrap/>
                  </w:pPr>
                  <w:r>
                    <w:rPr>
                      <w:rFonts w:hint="default"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0" w:hRule="atLeast"/>
                <w:tblCellSpacing w:w="0" w:type="dxa"/>
                <w:jc w:val="center"/>
              </w:trPr>
              <w:tc>
                <w:tcPr>
                  <w:tcW w:w="864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right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B2A21"/>
    <w:rsid w:val="481B2A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f451"/>
    <w:basedOn w:val="3"/>
    <w:uiPriority w:val="0"/>
    <w:rPr>
      <w:rFonts w:hint="eastAsia" w:ascii="宋体" w:hAnsi="宋体" w:eastAsia="宋体" w:cs="宋体"/>
      <w:color w:val="FF0000"/>
      <w:sz w:val="69"/>
      <w:szCs w:val="6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2017-04-26T08:09:00Z</dcterms:created>
  <dc:creator>Administrator</dc:creator>
  <cp:lastModifiedBy>Administrator</cp:lastModifiedBy>
  <dcterms:modified xsi:type="dcterms:W3CDTF">2017-04-26T08:10:38Z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